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Leandra Colley</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FRE396- Final Paper</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Decembre 2018</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 Les Lèvres de Irigaray: L’Autonomie Pour les Femmes à travers la Langage</w:t>
      </w:r>
    </w:p>
    <w:p w:rsidR="00000000" w:rsidDel="00000000" w:rsidP="00000000" w:rsidRDefault="00000000" w:rsidRPr="00000000" w14:paraId="0000000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Irigaray est des femmes intéressantes et compliquées. Ceci n'est pas exactement à cause de ses mots et ses actions, mais la confusion vient de son choix pour rester silencieuse. Il semble </w:t>
      </w:r>
      <w:r w:rsidDel="00000000" w:rsidR="00000000" w:rsidRPr="00000000">
        <w:rPr>
          <w:rFonts w:ascii="Times New Roman" w:cs="Times New Roman" w:eastAsia="Times New Roman" w:hAnsi="Times New Roman"/>
          <w:sz w:val="24"/>
          <w:szCs w:val="24"/>
          <w:rtl w:val="0"/>
        </w:rPr>
        <w:t xml:space="preserve">qu'Irigaray </w:t>
      </w:r>
      <w:r w:rsidDel="00000000" w:rsidR="00000000" w:rsidRPr="00000000">
        <w:rPr>
          <w:rFonts w:ascii="Times New Roman" w:cs="Times New Roman" w:eastAsia="Times New Roman" w:hAnsi="Times New Roman"/>
          <w:sz w:val="24"/>
          <w:szCs w:val="24"/>
          <w:rtl w:val="0"/>
        </w:rPr>
        <w:t xml:space="preserve">prend note de Cixous dans le choix de démontrer sa puissance et autorité à travers le silence, qui est très intéressant pour un auteur et un linguiste. Irigaray est un compliqué, et de temps en temps embrouillant, femme parce qu'elle laisse le lecteur pour essayer de comprendre ce qu'elle veut dire. Elle donne les informations et autorise au lecteur d'être d'accord, n'être pas d'accord, ou former une opinion complètement différente. Dans notre société aujourd'hui, nous voulons des réponses concrètes à toutes de nos questions, donc des réponses vagues nous confondent et nous énervent. Il faut déduire que ceci peut être une partie de la raison pour laquelle beaucoup de féministes modernes ne s'approchent pas du travail </w:t>
      </w:r>
      <w:r w:rsidDel="00000000" w:rsidR="00000000" w:rsidRPr="00000000">
        <w:rPr>
          <w:rFonts w:ascii="Times New Roman" w:cs="Times New Roman" w:eastAsia="Times New Roman" w:hAnsi="Times New Roman"/>
          <w:sz w:val="24"/>
          <w:szCs w:val="24"/>
          <w:rtl w:val="0"/>
        </w:rPr>
        <w:t xml:space="preserve">d'Irigaray</w:t>
      </w:r>
      <w:r w:rsidDel="00000000" w:rsidR="00000000" w:rsidRPr="00000000">
        <w:rPr>
          <w:rFonts w:ascii="Times New Roman" w:cs="Times New Roman" w:eastAsia="Times New Roman" w:hAnsi="Times New Roman"/>
          <w:sz w:val="24"/>
          <w:szCs w:val="24"/>
          <w:rtl w:val="0"/>
        </w:rPr>
        <w:t xml:space="preserve">, bien que ses idées ouvrent un nouveau monde. </w:t>
      </w:r>
      <w:r w:rsidDel="00000000" w:rsidR="00000000" w:rsidRPr="00000000">
        <w:rPr>
          <w:rFonts w:ascii="Times New Roman" w:cs="Times New Roman" w:eastAsia="Times New Roman" w:hAnsi="Times New Roman"/>
          <w:sz w:val="24"/>
          <w:szCs w:val="24"/>
          <w:highlight w:val="white"/>
          <w:rtl w:val="0"/>
        </w:rPr>
        <w:t xml:space="preserve">Il faut remarquer que, puisque Irigaray n’a pas fait de commentaires, n’a pas affirmé ou désapprouvé les idées et des analyses de les critiques, je fais également des hypothèses et j’interprète ses travaux de mon point de vue. Il n'y a pas assez de réponses concrète.</w:t>
      </w:r>
      <w:r w:rsidDel="00000000" w:rsidR="00000000" w:rsidRPr="00000000">
        <w:rPr>
          <w:rFonts w:ascii="Times New Roman" w:cs="Times New Roman" w:eastAsia="Times New Roman" w:hAnsi="Times New Roman"/>
          <w:sz w:val="24"/>
          <w:szCs w:val="24"/>
          <w:rtl w:val="0"/>
        </w:rPr>
        <w:t xml:space="preserve">On doit rappeler qu’Irigaray est principalement un linguiste, une théoricienne, et un psychanalyste, donc elle </w:t>
      </w:r>
      <w:r w:rsidDel="00000000" w:rsidR="00000000" w:rsidRPr="00000000">
        <w:rPr>
          <w:rFonts w:ascii="Times New Roman" w:cs="Times New Roman" w:eastAsia="Times New Roman" w:hAnsi="Times New Roman"/>
          <w:sz w:val="24"/>
          <w:szCs w:val="24"/>
          <w:highlight w:val="white"/>
          <w:rtl w:val="0"/>
        </w:rPr>
        <w:t xml:space="preserve">s'approche son travail avec la théorie tout en laissant un vide pour les autres pour les permettre de donner leurs opinions. </w:t>
      </w: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sz w:val="24"/>
          <w:szCs w:val="24"/>
          <w:rtl w:val="0"/>
        </w:rPr>
        <w:t xml:space="preserve">haque fois elle utilise un style ou mot particulaire, c’est intentionnel. </w:t>
      </w:r>
      <w:r w:rsidDel="00000000" w:rsidR="00000000" w:rsidRPr="00000000">
        <w:rPr>
          <w:rFonts w:ascii="Times New Roman" w:cs="Times New Roman" w:eastAsia="Times New Roman" w:hAnsi="Times New Roman"/>
          <w:sz w:val="24"/>
          <w:szCs w:val="24"/>
          <w:highlight w:val="white"/>
          <w:rtl w:val="0"/>
        </w:rPr>
        <w:t xml:space="preserve">Pourquoi voudrait-elle essayer de faire taire les autres quand son travail se concentre sur en donnant une voix aux femmes et à d'autres personnes qui historiquement ont été réduites au silence?</w:t>
      </w:r>
      <w:r w:rsidDel="00000000" w:rsidR="00000000" w:rsidRPr="00000000">
        <w:rPr>
          <w:rtl w:val="0"/>
        </w:rPr>
      </w:r>
    </w:p>
    <w:p w:rsidR="00000000" w:rsidDel="00000000" w:rsidP="00000000" w:rsidRDefault="00000000" w:rsidRPr="00000000" w14:paraId="0000000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Née en 1932, il n’y a pas beaucoup d’information de Luce Irigaray mais elle est encore en vie, et elle avait nous donné plusieurs de ses oeuvres féministe et théor</w:t>
      </w:r>
      <w:r w:rsidDel="00000000" w:rsidR="00000000" w:rsidRPr="00000000">
        <w:rPr>
          <w:rFonts w:ascii="Times New Roman" w:cs="Times New Roman" w:eastAsia="Times New Roman" w:hAnsi="Times New Roman"/>
          <w:sz w:val="24"/>
          <w:szCs w:val="24"/>
          <w:rtl w:val="0"/>
        </w:rPr>
        <w:t xml:space="preserve">ique</w:t>
      </w:r>
      <w:r w:rsidDel="00000000" w:rsidR="00000000" w:rsidRPr="00000000">
        <w:rPr>
          <w:rFonts w:ascii="Times New Roman" w:cs="Times New Roman" w:eastAsia="Times New Roman" w:hAnsi="Times New Roman"/>
          <w:sz w:val="24"/>
          <w:szCs w:val="24"/>
          <w:rtl w:val="0"/>
        </w:rPr>
        <w:t xml:space="preserve">. Pour lire les écritures de Irigaray, c’est nécessaire d’avoir un re-examination de son utilisation de la langue. </w:t>
      </w:r>
      <w:r w:rsidDel="00000000" w:rsidR="00000000" w:rsidRPr="00000000">
        <w:rPr>
          <w:rFonts w:ascii="Times New Roman" w:cs="Times New Roman" w:eastAsia="Times New Roman" w:hAnsi="Times New Roman"/>
          <w:sz w:val="24"/>
          <w:szCs w:val="24"/>
          <w:rtl w:val="0"/>
        </w:rPr>
        <w:t xml:space="preserve">Un argument courant pour l’opposition de Irigaray est que l’idée que plusieurs de ses oeuvres sont essentialistes. L’essentialisme réduit les peuples à leurs attributs base; une femme est une femme car son sexe et elle doit faire les activités qui sont associées avec celui. Les féministes essaient partir de cette axe de réflexion car il exclut les gens, comme les individuels transgenres, tandis qu’en mettre tous les ‘peuples avec un vagin’ dans la même catégorie, sans la recognition de ses différences- comme les hommes dans le patriarcat leur avait fait historiquement (Stone, 8-10). Pour exemple, quand des peuples lissent “Quand Nos Lèvres se Parlent,” ils sentent que la langue et les termes que Irigaray utilise diminuer les femmes à leur sexe. Pour exemple, dans la dialogue qu’elle tient avec l’autre femme, elle dit qu’elle la sait et ses désirs. Les femmes qui lisent ça sans la contexte nécessaire disent qu’elle semble comme elle sait exactement ce que toutes les femmes sentent. Elles disent qu’Irigaray utilise un pseudo-science de dire un histoire qui n’est pas partagé parmi tous les gens. </w:t>
      </w:r>
    </w:p>
    <w:p w:rsidR="00000000" w:rsidDel="00000000" w:rsidP="00000000" w:rsidRDefault="00000000" w:rsidRPr="00000000" w14:paraId="0000000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Mais elle utilise la même langue et style de l'écriture pour mettre un miroir a la texte comme un type de résistance. Une écrivaine célèbre qui résistait la société est Marie de France; elle a écrit “Le Laustic” dans “Les Lais de Marie de France.” Dans le poème, la femme utilise les outils qui ont été attribué historiquement aux femmes, l’aiguille et la plume, pour construire sa narrative. La broderie est pensé comme une activité féminine; c’est sans le bruit, ce ne prend pas de place, et c’est calme. Le fait que c’est sans le bruit est la plus importante car dans ce poème, la broderie aide la narratrice raconte son histoire; la broderie silencieuse donne la femme sa voix. Irigaray utilise le mimétisme pour forcer la société de réaliser sa fondation du phallogocentrisme. </w:t>
      </w:r>
      <w:r w:rsidDel="00000000" w:rsidR="00000000" w:rsidRPr="00000000">
        <w:rPr>
          <w:rFonts w:ascii="Times New Roman" w:cs="Times New Roman" w:eastAsia="Times New Roman" w:hAnsi="Times New Roman"/>
          <w:sz w:val="24"/>
          <w:szCs w:val="24"/>
          <w:highlight w:val="white"/>
          <w:rtl w:val="0"/>
        </w:rPr>
        <w:t xml:space="preserve">Le phallogocentrisme consiste de privilégier la masculinité dans l'utilisation de la parole, de l'écriture ou de la pensée. La société, la langage, la science, et plus sont toutes créé par les hommes et pour les hommes. Irigaray parle de ça en “Ce Sexe Qui N’en Est Pas Un.”</w:t>
      </w:r>
      <w:r w:rsidDel="00000000" w:rsidR="00000000" w:rsidRPr="00000000">
        <w:rPr>
          <w:rtl w:val="0"/>
        </w:rPr>
      </w:r>
    </w:p>
    <w:p w:rsidR="00000000" w:rsidDel="00000000" w:rsidP="00000000" w:rsidRDefault="00000000" w:rsidRPr="00000000" w14:paraId="0000000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Son oeuvre discut l’heterosexualite, ou le manque de vrais heterosexualite car le phallogocentrism et les façons dans lequel la société exclut les femmes et met au centre les hommes. Elle dit que les hommes et philosophes populaire qui essaie d'être sans sexe dans leurs textes ont vraiment un parti pris (Kaczmar, 7). Dans leurs essais d'être neutre, ils créent un monde où l’homme est le prototype et la femme est “l’autre” ou rien. C’est Hom(m)osexuel. Avec l’idée de l’homosexualité elle se demande pourquoi les femmes doivent être comparé à les hommes dans leurs relations lesbienne. Les auteurs comme disent que les femmes trouvent dans l’autre femmes ce qu’elles veulent dans les hommes dans leur vie, comme leur frère ou père (Irigaray, 65). Irigaray pose la question: “pourquoi?” Elle se demande pourquoi les hommes sentent que les seul objet ou l’amour que les femmes veulent et demandent est un phallus. Dans la ville de la petite fille, les philosophes disent qu’elle grandit avec une haine pour sa-même et sa mère car les deux n’ont pas un phallus. La fille cherche dans la père et frère ce qu’elle manque dans sa-même. Et comme un adulte, si elle a besoin d’un relation avec une autre femme, la raison est parce que l’autre femme a les caractéristiques qui sont associés avec un homme. Selon les philosophes comme Freud, tous les choses que les femmes font, même la maternité, est fait pour devenir plus proche a un homme. </w:t>
      </w:r>
    </w:p>
    <w:p w:rsidR="00000000" w:rsidDel="00000000" w:rsidP="00000000" w:rsidRDefault="00000000" w:rsidRPr="00000000" w14:paraId="0000000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Irigaray n’a pas en d’accord avec l’idée que les femmes ont accoucher pour devenir plus proche aux hommes, mais elle dit que, “Mais celle-ci est avant tout prostitution masochiste de son corps à un désir qui n'est pas le sien; ce qui la laisse dans cet état de dépendance à l'homme qu'on lui connaît. (Irigaray, 25)” Et dans un entrevue, elle dit, </w:t>
      </w:r>
      <w:r w:rsidDel="00000000" w:rsidR="00000000" w:rsidRPr="00000000">
        <w:rPr>
          <w:rFonts w:ascii="Times New Roman" w:cs="Times New Roman" w:eastAsia="Times New Roman" w:hAnsi="Times New Roman"/>
          <w:sz w:val="24"/>
          <w:szCs w:val="24"/>
          <w:highlight w:val="white"/>
          <w:rtl w:val="0"/>
        </w:rPr>
        <w:t xml:space="preserve">“D’avoir un bébé fait partie de l'identité de la femme, mais le bébé appartient à l'État. Nous vivons aujourd'hui dans une culture masculine qui ne correspond pas à l'identité de la femme. (GBTimes).” Pour Irigaray, les femmes doivent créer un nouvelle forme de pensée ou la femme n’est pas un objet en réponse aux hommes; les femmes doivent devenir une prototype pour leur-même idées qui les concernent. Le façon dans lequel la société va maintenant simplifie les femmes en bas ce qu’elles peut faire pour les hommes.   </w:t>
      </w:r>
      <w:r w:rsidDel="00000000" w:rsidR="00000000" w:rsidRPr="00000000">
        <w:rPr>
          <w:rtl w:val="0"/>
        </w:rPr>
      </w:r>
    </w:p>
    <w:p w:rsidR="00000000" w:rsidDel="00000000" w:rsidP="00000000" w:rsidRDefault="00000000" w:rsidRPr="00000000" w14:paraId="0000000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Irigaray a formé l’idée de la Femme comme la mère, la verge, et la prostituée. Elle a dit, suivant Karl Marx, que les femmes sont merchandise sur le marché- produits de base d'être échangé entre les hommes. Et ceci aussi est un parti de son idée de l’hom(m)osexualité car les hommes obtiennent et garder les femmes pour la valeur aux les autre hommes (Zimmerman, 433). La société fonctionne car les corps des femmes. La solution de Irigaray est pour les femmes de créer leur même système pour la succès ou elles ont leur propre identité- sans l’influence des hommes, et ça fait sens.  </w:t>
      </w:r>
    </w:p>
    <w:p w:rsidR="00000000" w:rsidDel="00000000" w:rsidP="00000000" w:rsidRDefault="00000000" w:rsidRPr="00000000" w14:paraId="0000000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Dans notre nouvelle système du patriarcat, les femmes peut obtenir les travailles, l’argent et  l'indépendance. Selon les féministes post-moderne, il n’y a pas un besoin pour le féminisme encore. Mais je pense que les femmes doivent revisiter les écritures de Irigaray. Les femmes ne peuvent pas obtenir leur idée d'Indépendance jusqu'à  il n’y a pas plus un souligne du patriarcat avec toute les chose que les femmes faire. Irigaray dit que les femmes a besoin de leur propre identité parce que tous les choses qui les femmes font seront inspiré ou influencé par les hommes. Il y beaucoup des histoires des femmes qui ont dû utiliser ses corps pour devenir accompli; pour rester sur la même niveau comme les hommes, les femmes doivent faire plus du travail sal à deux le taux. </w:t>
      </w:r>
      <w:r w:rsidDel="00000000" w:rsidR="00000000" w:rsidRPr="00000000">
        <w:rPr>
          <w:rtl w:val="0"/>
        </w:rPr>
      </w:r>
    </w:p>
    <w:p w:rsidR="00000000" w:rsidDel="00000000" w:rsidP="00000000" w:rsidRDefault="00000000" w:rsidRPr="00000000" w14:paraId="0000000C">
      <w:pPr>
        <w:spacing w:line="48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0D">
      <w:pPr>
        <w:spacing w:line="480" w:lineRule="auto"/>
        <w:ind w:left="720" w:hanging="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0E">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GBTIMES. “Of Relations and Rights -- Interview with Luce Irigaray.” </w:t>
      </w:r>
      <w:r w:rsidDel="00000000" w:rsidR="00000000" w:rsidRPr="00000000">
        <w:rPr>
          <w:rFonts w:ascii="Times New Roman" w:cs="Times New Roman" w:eastAsia="Times New Roman" w:hAnsi="Times New Roman"/>
          <w:i w:val="1"/>
          <w:sz w:val="24"/>
          <w:szCs w:val="24"/>
          <w:rtl w:val="0"/>
        </w:rPr>
        <w:t xml:space="preserve">YouTube</w:t>
      </w:r>
      <w:r w:rsidDel="00000000" w:rsidR="00000000" w:rsidRPr="00000000">
        <w:rPr>
          <w:rFonts w:ascii="Times New Roman" w:cs="Times New Roman" w:eastAsia="Times New Roman" w:hAnsi="Times New Roman"/>
          <w:sz w:val="24"/>
          <w:szCs w:val="24"/>
          <w:rtl w:val="0"/>
        </w:rPr>
        <w:t xml:space="preserve">, YouTube, 12 Mar. 2013, </w:t>
      </w:r>
      <w:r w:rsidDel="00000000" w:rsidR="00000000" w:rsidRPr="00000000">
        <w:rPr>
          <w:rFonts w:ascii="Times New Roman" w:cs="Times New Roman" w:eastAsia="Times New Roman" w:hAnsi="Times New Roman"/>
          <w:sz w:val="24"/>
          <w:szCs w:val="24"/>
          <w:rtl w:val="0"/>
        </w:rPr>
        <w:t xml:space="preserve">www.youtube.com/watch?v=wufr2v3zjCM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Irigaray, Luce. </w:t>
      </w:r>
      <w:r w:rsidDel="00000000" w:rsidR="00000000" w:rsidRPr="00000000">
        <w:rPr>
          <w:rFonts w:ascii="Times New Roman" w:cs="Times New Roman" w:eastAsia="Times New Roman" w:hAnsi="Times New Roman"/>
          <w:i w:val="1"/>
          <w:sz w:val="24"/>
          <w:szCs w:val="24"/>
          <w:rtl w:val="0"/>
        </w:rPr>
        <w:t xml:space="preserve">Ce Sexe Qui N’en Est Pas Un.</w:t>
      </w:r>
      <w:r w:rsidDel="00000000" w:rsidR="00000000" w:rsidRPr="00000000">
        <w:rPr>
          <w:rFonts w:ascii="Times New Roman" w:cs="Times New Roman" w:eastAsia="Times New Roman" w:hAnsi="Times New Roman"/>
          <w:sz w:val="24"/>
          <w:szCs w:val="24"/>
          <w:rtl w:val="0"/>
        </w:rPr>
        <w:t xml:space="preserve"> Éditions de Minuit, 1977.</w:t>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Kaczmar, Dawn. “Irigaray and Nin Through the Looking Glass: Mimetic re-appropriation of the </w:t>
      </w:r>
    </w:p>
    <w:p w:rsidR="00000000" w:rsidDel="00000000" w:rsidP="00000000" w:rsidRDefault="00000000" w:rsidRPr="00000000" w14:paraId="0000001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masculine discourse.” </w:t>
      </w:r>
      <w:r w:rsidDel="00000000" w:rsidR="00000000" w:rsidRPr="00000000">
        <w:rPr>
          <w:rFonts w:ascii="Times New Roman" w:cs="Times New Roman" w:eastAsia="Times New Roman" w:hAnsi="Times New Roman"/>
          <w:i w:val="1"/>
          <w:sz w:val="24"/>
          <w:szCs w:val="24"/>
          <w:rtl w:val="0"/>
        </w:rPr>
        <w:t xml:space="preserve">Cafe in Space: The Anais Nin Literary Journal</w:t>
      </w:r>
      <w:r w:rsidDel="00000000" w:rsidR="00000000" w:rsidRPr="00000000">
        <w:rPr>
          <w:rFonts w:ascii="Times New Roman" w:cs="Times New Roman" w:eastAsia="Times New Roman" w:hAnsi="Times New Roman"/>
          <w:sz w:val="24"/>
          <w:szCs w:val="24"/>
          <w:rtl w:val="0"/>
        </w:rPr>
        <w:t xml:space="preserve">, vol. 7, 25 Feb. </w:t>
      </w:r>
    </w:p>
    <w:p w:rsidR="00000000" w:rsidDel="00000000" w:rsidP="00000000" w:rsidRDefault="00000000" w:rsidRPr="00000000" w14:paraId="0000001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2010, pp. 64-79. </w:t>
      </w:r>
    </w:p>
    <w:p w:rsidR="00000000" w:rsidDel="00000000" w:rsidP="00000000" w:rsidRDefault="00000000" w:rsidRPr="00000000" w14:paraId="0000001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Kolozova, Katerina. “Philosophical and Speculative Economies of the Vanishing Body.” </w:t>
      </w:r>
    </w:p>
    <w:p w:rsidR="00000000" w:rsidDel="00000000" w:rsidP="00000000" w:rsidRDefault="00000000" w:rsidRPr="00000000" w14:paraId="0000001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ab/>
        <w:t xml:space="preserve">Frontiers in Sociology</w:t>
      </w:r>
      <w:r w:rsidDel="00000000" w:rsidR="00000000" w:rsidRPr="00000000">
        <w:rPr>
          <w:rFonts w:ascii="Times New Roman" w:cs="Times New Roman" w:eastAsia="Times New Roman" w:hAnsi="Times New Roman"/>
          <w:sz w:val="24"/>
          <w:szCs w:val="24"/>
          <w:rtl w:val="0"/>
        </w:rPr>
        <w:t xml:space="preserve">, vol. 3, no. 26, pp. 1-6. </w:t>
      </w:r>
    </w:p>
    <w:p w:rsidR="00000000" w:rsidDel="00000000" w:rsidP="00000000" w:rsidRDefault="00000000" w:rsidRPr="00000000" w14:paraId="00000015">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Stone, Alison. “From Political to Realist Essentialism: Rereading Luce Irigaray.” </w:t>
      </w:r>
      <w:r w:rsidDel="00000000" w:rsidR="00000000" w:rsidRPr="00000000">
        <w:rPr>
          <w:rFonts w:ascii="Times New Roman" w:cs="Times New Roman" w:eastAsia="Times New Roman" w:hAnsi="Times New Roman"/>
          <w:i w:val="1"/>
          <w:sz w:val="24"/>
          <w:szCs w:val="24"/>
          <w:rtl w:val="0"/>
        </w:rPr>
        <w:t xml:space="preserve">Feminist </w:t>
      </w:r>
    </w:p>
    <w:p w:rsidR="00000000" w:rsidDel="00000000" w:rsidP="00000000" w:rsidRDefault="00000000" w:rsidRPr="00000000" w14:paraId="0000001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ab/>
        <w:t xml:space="preserve">Theory</w:t>
      </w:r>
      <w:r w:rsidDel="00000000" w:rsidR="00000000" w:rsidRPr="00000000">
        <w:rPr>
          <w:rFonts w:ascii="Times New Roman" w:cs="Times New Roman" w:eastAsia="Times New Roman" w:hAnsi="Times New Roman"/>
          <w:sz w:val="24"/>
          <w:szCs w:val="24"/>
          <w:rtl w:val="0"/>
        </w:rPr>
        <w:t xml:space="preserve">, vol. 5, no. 1, 2004, pp. 5-23. </w:t>
      </w:r>
    </w:p>
    <w:p w:rsidR="00000000" w:rsidDel="00000000" w:rsidP="00000000" w:rsidRDefault="00000000" w:rsidRPr="00000000" w14:paraId="00000017">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Weinbaum, Alys Eve. "Marx, Irigaray, and the politics of reproduction." </w:t>
      </w:r>
      <w:r w:rsidDel="00000000" w:rsidR="00000000" w:rsidRPr="00000000">
        <w:rPr>
          <w:rFonts w:ascii="Times New Roman" w:cs="Times New Roman" w:eastAsia="Times New Roman" w:hAnsi="Times New Roman"/>
          <w:i w:val="1"/>
          <w:sz w:val="24"/>
          <w:szCs w:val="24"/>
          <w:rtl w:val="0"/>
        </w:rPr>
        <w:t xml:space="preserve">Differences: A Journal </w:t>
      </w:r>
    </w:p>
    <w:p w:rsidR="00000000" w:rsidDel="00000000" w:rsidP="00000000" w:rsidRDefault="00000000" w:rsidRPr="00000000" w14:paraId="0000001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ab/>
        <w:t xml:space="preserve">of Feminist Cultural Studies</w:t>
      </w:r>
      <w:r w:rsidDel="00000000" w:rsidR="00000000" w:rsidRPr="00000000">
        <w:rPr>
          <w:rFonts w:ascii="Times New Roman" w:cs="Times New Roman" w:eastAsia="Times New Roman" w:hAnsi="Times New Roman"/>
          <w:sz w:val="24"/>
          <w:szCs w:val="24"/>
          <w:rtl w:val="0"/>
        </w:rPr>
        <w:t xml:space="preserve">, vol. 6, no. 1, 1994, p. 98+. </w:t>
      </w:r>
      <w:r w:rsidDel="00000000" w:rsidR="00000000" w:rsidRPr="00000000">
        <w:rPr>
          <w:rFonts w:ascii="Times New Roman" w:cs="Times New Roman" w:eastAsia="Times New Roman" w:hAnsi="Times New Roman"/>
          <w:i w:val="1"/>
          <w:sz w:val="24"/>
          <w:szCs w:val="24"/>
          <w:rtl w:val="0"/>
        </w:rPr>
        <w:t xml:space="preserve">Literature Resource Center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9">
      <w:pPr>
        <w:spacing w:line="480" w:lineRule="auto"/>
        <w:ind w:firstLine="720"/>
        <w:rPr/>
      </w:pPr>
      <w:r w:rsidDel="00000000" w:rsidR="00000000" w:rsidRPr="00000000">
        <w:rPr>
          <w:rFonts w:ascii="Times New Roman" w:cs="Times New Roman" w:eastAsia="Times New Roman" w:hAnsi="Times New Roman"/>
          <w:sz w:val="24"/>
          <w:szCs w:val="24"/>
          <w:rtl w:val="0"/>
        </w:rPr>
        <w:t xml:space="preserve">http://link.galegroup.com/apps/doc/A16642806/LitRC?u=agnes&amp;sid=LitRC&amp;xid=7680b</w:t>
      </w:r>
      <w:r w:rsidDel="00000000" w:rsidR="00000000" w:rsidRPr="00000000">
        <w:rPr>
          <w:rtl w:val="0"/>
        </w:rPr>
      </w:r>
    </w:p>
    <w:p w:rsidR="00000000" w:rsidDel="00000000" w:rsidP="00000000" w:rsidRDefault="00000000" w:rsidRPr="00000000" w14:paraId="0000001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665</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Zimmerman, Tegan. “Revisiting Irigaray’s Essay “Women on the Market.” </w:t>
      </w:r>
      <w:r w:rsidDel="00000000" w:rsidR="00000000" w:rsidRPr="00000000">
        <w:rPr>
          <w:rFonts w:ascii="Times New Roman" w:cs="Times New Roman" w:eastAsia="Times New Roman" w:hAnsi="Times New Roman"/>
          <w:i w:val="1"/>
          <w:sz w:val="24"/>
          <w:szCs w:val="24"/>
          <w:rtl w:val="0"/>
        </w:rPr>
        <w:t xml:space="preserve">Women’s Studies</w:t>
      </w:r>
      <w:r w:rsidDel="00000000" w:rsidR="00000000" w:rsidRPr="00000000">
        <w:rPr>
          <w:rFonts w:ascii="Times New Roman" w:cs="Times New Roman" w:eastAsia="Times New Roman" w:hAnsi="Times New Roman"/>
          <w:sz w:val="24"/>
          <w:szCs w:val="24"/>
          <w:rtl w:val="0"/>
        </w:rPr>
        <w:t xml:space="preserve">, vol. </w:t>
      </w:r>
    </w:p>
    <w:p w:rsidR="00000000" w:rsidDel="00000000" w:rsidP="00000000" w:rsidRDefault="00000000" w:rsidRPr="00000000" w14:paraId="0000001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45, 2016, pp. 425-443.</w:t>
      </w:r>
    </w:p>
    <w:p w:rsidR="00000000" w:rsidDel="00000000" w:rsidP="00000000" w:rsidRDefault="00000000" w:rsidRPr="00000000" w14:paraId="0000001D">
      <w:pPr>
        <w:spacing w:line="480" w:lineRule="auto"/>
        <w:rPr>
          <w:rFonts w:ascii="Times New Roman" w:cs="Times New Roman" w:eastAsia="Times New Roman" w:hAnsi="Times New Roman"/>
          <w:sz w:val="24"/>
          <w:szCs w:val="24"/>
        </w:rPr>
      </w:pPr>
      <w:r w:rsidDel="00000000" w:rsidR="00000000" w:rsidRPr="00000000">
        <w:rPr>
          <w:rtl w:val="0"/>
        </w:rPr>
      </w:r>
    </w:p>
    <w:sectPr>
      <w:headerReference r:id="rId6" w:type="default"/>
      <w:headerReference r:id="rId7" w:type="first"/>
      <w:pgSz w:h="15840" w:w="12240"/>
      <w:pgMar w:bottom="1440" w:top="144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 Colley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